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人民法院诉讼费缴费速算公式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(一)财产案件受理费：</w:t>
      </w:r>
    </w:p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2"/>
        <w:gridCol w:w="4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1200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                               财产案件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标的金额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计算方法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1万以下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50元/件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1万-10万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2.5%-200元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10万-20万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2%+300元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20万-50万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1.5%+1300元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50万-100万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1%+3800元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100万-200万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0.9%+4800元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200万-500万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0.8%+6800元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500万-1000万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0.7%+11800元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1000万-2000万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0.6%+21800元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2000万以上</w:t>
            </w:r>
          </w:p>
        </w:tc>
        <w:tc>
          <w:tcPr>
            <w:tcW w:w="4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0.5%+41800元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3E3E3E"/>
          <w:sz w:val="18"/>
          <w:szCs w:val="18"/>
          <w:bdr w:val="none" w:color="auto" w:sz="0" w:space="0"/>
          <w:shd w:val="clear" w:fill="FFFFFF"/>
        </w:rPr>
        <w:t>对财产案件提起上诉的，按照不服一审判决部分的上诉请求数额交纳上诉费。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3E3E3E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(二)非财产案件受理费：</w:t>
      </w: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4458"/>
        <w:gridCol w:w="3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离婚</w:t>
            </w:r>
          </w:p>
        </w:tc>
        <w:tc>
          <w:tcPr>
            <w:tcW w:w="4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一般情况</w:t>
            </w:r>
          </w:p>
        </w:tc>
        <w:tc>
          <w:tcPr>
            <w:tcW w:w="3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E3E3E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涉及财产分割，财产总额不足  20万元的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不另行交纳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-apple-system-font" w:hAnsi="-apple-system-font" w:eastAsia="-apple-system-font" w:cs="-apple-system-font"/>
                <w:color w:val="3E3E3E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超过20万元的部分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1200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侵害姓名权、名称权、肖像权、名誉权、荣誉权以及其他人格权的案件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一般情况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color w:val="3E3E3E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涉及损害赔偿，赔偿金额不超过5万元的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不另行交纳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color w:val="3E3E3E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超过5万元至10万元的部分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-apple-system-font" w:hAnsi="-apple-system-font" w:eastAsia="-apple-system-font" w:cs="-apple-system-font"/>
                <w:color w:val="3E3E3E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超过10万元的部分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0.5%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(三)其他非财产案件每件交纳100元。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(四)劳动争议案件每件交纳10元；管辖权异议案件，异议不成立的，每件交纳100元。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(五)知识产权案件：</w:t>
      </w:r>
    </w:p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8"/>
        <w:gridCol w:w="5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知识产权案件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类型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没有争议金额或者价额的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有争议金额或者价额的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按照财产案件标准交纳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商标、专利行政案件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其他行政案件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(六)执行案件：执行申请费无须申请人预交，待执行后按下列标准由被执行人负担：</w:t>
      </w:r>
    </w:p>
    <w:tbl>
      <w:tblPr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5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没有执行金额的</w:t>
            </w:r>
          </w:p>
        </w:tc>
        <w:tc>
          <w:tcPr>
            <w:tcW w:w="5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50元至500元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1万元以下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1万-50万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1.5%-100元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50万-500万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1%+2400元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500万-1000万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0.5%+27400元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1000万以上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0.1%+67400元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(七)诉讼保全：</w:t>
      </w:r>
    </w:p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4"/>
        <w:gridCol w:w="4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财产数额不超过1000元或不涉及财产数额</w:t>
            </w:r>
          </w:p>
        </w:tc>
        <w:tc>
          <w:tcPr>
            <w:tcW w:w="4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30元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1000元-10万元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1%+20元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10万-89.6万元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0.5%+520元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89.6万元以上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5000元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AB1942"/>
          <w:sz w:val="18"/>
          <w:szCs w:val="18"/>
          <w:bdr w:val="none" w:color="auto" w:sz="0" w:space="0"/>
          <w:shd w:val="clear" w:fill="FFFFFF"/>
        </w:rPr>
        <w:t>(八)其他类型案件：</w:t>
      </w:r>
    </w:p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2"/>
        <w:gridCol w:w="5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申请支付令</w:t>
            </w:r>
          </w:p>
        </w:tc>
        <w:tc>
          <w:tcPr>
            <w:tcW w:w="5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比照财产案件受理费标准的1/3交纳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申请公示催告</w:t>
            </w:r>
          </w:p>
        </w:tc>
        <w:tc>
          <w:tcPr>
            <w:tcW w:w="5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申请撤销仲裁裁决或者认定仲裁协议效力</w:t>
            </w:r>
          </w:p>
        </w:tc>
        <w:tc>
          <w:tcPr>
            <w:tcW w:w="5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申请破产</w:t>
            </w:r>
          </w:p>
        </w:tc>
        <w:tc>
          <w:tcPr>
            <w:tcW w:w="5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E3E3E"/>
                <w:sz w:val="18"/>
                <w:szCs w:val="18"/>
                <w:bdr w:val="none" w:color="auto" w:sz="0" w:space="0"/>
              </w:rPr>
              <w:t>依照破产财产总额计算，按照财产案件受理费标准减半交纳，最高不超过30万元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default" w:ascii="-apple-system-font" w:hAnsi="-apple-system-font" w:eastAsia="-apple-system-font" w:cs="-apple-system-font"/>
          <w:color w:val="3E3E3E"/>
        </w:rPr>
      </w:pPr>
      <w:r>
        <w:rPr>
          <w:rStyle w:val="5"/>
          <w:rFonts w:hint="eastAsia" w:ascii="宋体" w:hAnsi="宋体" w:eastAsia="宋体" w:cs="宋体"/>
          <w:color w:val="3E3E3E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default" w:ascii="-apple-system-font" w:hAnsi="-apple-system-font" w:eastAsia="-apple-system-font" w:cs="-apple-system-font"/>
          <w:color w:val="3E3E3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2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2017-06-13T04:46:50Z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